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A" w:rsidRDefault="00904CEA" w:rsidP="00904CEA">
      <w:pPr>
        <w:pStyle w:val="HSFormAssmtHdg"/>
      </w:pPr>
      <w:bookmarkStart w:id="0" w:name="_Toc255216296"/>
      <w:r>
        <w:t>Formative assessment 11</w:t>
      </w:r>
      <w:bookmarkEnd w:id="0"/>
    </w:p>
    <w:p w:rsidR="00904CEA" w:rsidRPr="002A57D0" w:rsidRDefault="00904CEA" w:rsidP="00904CEA">
      <w:r w:rsidRPr="002A57D0">
        <w:t>Select one organisation from the services industry that is also a small business</w:t>
      </w:r>
      <w:r>
        <w:t>, such as a hair dresser</w:t>
      </w:r>
      <w:r w:rsidRPr="002A57D0">
        <w:t xml:space="preserve">.  </w:t>
      </w:r>
      <w:r>
        <w:t>In a group, discuss the following:</w:t>
      </w:r>
    </w:p>
    <w:p w:rsidR="00904CEA" w:rsidRPr="00C96449" w:rsidRDefault="00904CEA" w:rsidP="00904CEA">
      <w:pPr>
        <w:rPr>
          <w:b/>
        </w:rPr>
      </w:pPr>
      <w:r w:rsidRPr="00C96449">
        <w:rPr>
          <w:b/>
        </w:rPr>
        <w:t>Select one educational organisation that is also a large organisation.  In a group, discuss the following:</w:t>
      </w:r>
    </w:p>
    <w:p w:rsidR="00904CEA" w:rsidRDefault="00904CEA" w:rsidP="00904CEA">
      <w:r>
        <w:t>Communication channels in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Pr="003A4DD4" w:rsidRDefault="00904CEA" w:rsidP="00904CEA">
      <w:pPr>
        <w:rPr>
          <w:lang w:val="en-US"/>
        </w:rPr>
      </w:pPr>
      <w:r>
        <w:t>Communication resources such as telephone, fax, computers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</w:tbl>
    <w:p w:rsidR="00904CEA" w:rsidRDefault="00904CEA" w:rsidP="00904CEA">
      <w:r>
        <w:t>Technological resources used by the organisation, such as computers.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Default="00904CEA" w:rsidP="00904CEA"/>
    <w:p w:rsidR="00904CEA" w:rsidRDefault="00904CEA" w:rsidP="00904CEA">
      <w:r>
        <w:t xml:space="preserve">What multilingual needs exist in the </w:t>
      </w:r>
      <w:proofErr w:type="gramStart"/>
      <w:r>
        <w:t>organisation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Pr="00C96449" w:rsidRDefault="00904CEA" w:rsidP="00904CEA">
      <w:pPr>
        <w:rPr>
          <w:b/>
        </w:rPr>
      </w:pPr>
      <w:r w:rsidRPr="00C96449">
        <w:rPr>
          <w:b/>
        </w:rPr>
        <w:t>Discuss your own organisation:</w:t>
      </w:r>
    </w:p>
    <w:p w:rsidR="00904CEA" w:rsidRDefault="00904CEA" w:rsidP="00904CEA">
      <w:r>
        <w:t>Communication channels in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Pr="003A4DD4" w:rsidRDefault="00904CEA" w:rsidP="00904CEA">
      <w:pPr>
        <w:rPr>
          <w:lang w:val="en-US"/>
        </w:rPr>
      </w:pPr>
      <w:r>
        <w:t>Communication resources such as telephone, fax, computers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  <w:tr w:rsidR="00904CEA" w:rsidRPr="009633BC" w:rsidTr="00F07813">
        <w:tc>
          <w:tcPr>
            <w:tcW w:w="10080" w:type="dxa"/>
          </w:tcPr>
          <w:p w:rsidR="00904CEA" w:rsidRPr="009633BC" w:rsidRDefault="00904CEA" w:rsidP="00F07813">
            <w:pPr>
              <w:pStyle w:val="HSNormal"/>
              <w:rPr>
                <w:lang w:val="en-US"/>
              </w:rPr>
            </w:pPr>
          </w:p>
        </w:tc>
      </w:tr>
    </w:tbl>
    <w:p w:rsidR="00904CEA" w:rsidRDefault="00904CEA" w:rsidP="00904CEA"/>
    <w:p w:rsidR="00904CEA" w:rsidRDefault="00904CEA" w:rsidP="00904CEA">
      <w:bookmarkStart w:id="1" w:name="_GoBack"/>
      <w:bookmarkEnd w:id="1"/>
      <w:r>
        <w:t>Technological resources used by the organisation, such as computers.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40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Default="00904CEA" w:rsidP="00904CEA">
      <w:r>
        <w:t xml:space="preserve">What multilingual needs exist in the </w:t>
      </w:r>
      <w:proofErr w:type="gramStart"/>
      <w:r>
        <w:t>organisation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10080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Pr="002A57D0" w:rsidRDefault="00904CEA" w:rsidP="00904CEA">
      <w:r>
        <w:t>List the similarities and differences between the organisations and how the differences impact on the occupational learning of the employees.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  <w:tr w:rsidR="00904CEA" w:rsidTr="00F07813">
        <w:tc>
          <w:tcPr>
            <w:tcW w:w="9854" w:type="dxa"/>
          </w:tcPr>
          <w:p w:rsidR="00904CEA" w:rsidRDefault="00904CEA" w:rsidP="00F07813">
            <w:pPr>
              <w:pStyle w:val="HSNormal"/>
            </w:pPr>
          </w:p>
        </w:tc>
      </w:tr>
    </w:tbl>
    <w:p w:rsidR="00904CEA" w:rsidRDefault="00904CEA" w:rsidP="00904CEA"/>
    <w:p w:rsidR="00602FC2" w:rsidRDefault="00602FC2"/>
    <w:sectPr w:rsidR="00602FC2" w:rsidSect="00BF7622">
      <w:pgSz w:w="11906" w:h="16838" w:code="9"/>
      <w:pgMar w:top="1985" w:right="1134" w:bottom="1418" w:left="1134" w:header="680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EA"/>
    <w:rsid w:val="00602FC2"/>
    <w:rsid w:val="009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EA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Normal">
    <w:name w:val="HS Normal"/>
    <w:basedOn w:val="Normal"/>
    <w:link w:val="HSNormalChar"/>
    <w:semiHidden/>
    <w:rsid w:val="00904CEA"/>
    <w:rPr>
      <w:rFonts w:ascii="Century Schoolbook" w:hAnsi="Century Schoolbook" w:cs="Times New Roman"/>
      <w:lang w:val="en-ZA"/>
    </w:rPr>
  </w:style>
  <w:style w:type="character" w:customStyle="1" w:styleId="HSNormalChar">
    <w:name w:val="HS Normal Char"/>
    <w:link w:val="HSNormal"/>
    <w:semiHidden/>
    <w:rsid w:val="00904CEA"/>
    <w:rPr>
      <w:rFonts w:ascii="Century Schoolbook" w:eastAsia="Times New Roman" w:hAnsi="Century Schoolbook" w:cs="Times New Roman"/>
      <w:sz w:val="20"/>
      <w:szCs w:val="24"/>
      <w:lang w:val="en-ZA"/>
    </w:rPr>
  </w:style>
  <w:style w:type="paragraph" w:customStyle="1" w:styleId="HSFormAssmtHdg">
    <w:name w:val="HS Form Assmt Hdg"/>
    <w:basedOn w:val="Normal"/>
    <w:semiHidden/>
    <w:rsid w:val="00904CEA"/>
    <w:pPr>
      <w:spacing w:before="240"/>
      <w:jc w:val="center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EA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Normal">
    <w:name w:val="HS Normal"/>
    <w:basedOn w:val="Normal"/>
    <w:link w:val="HSNormalChar"/>
    <w:semiHidden/>
    <w:rsid w:val="00904CEA"/>
    <w:rPr>
      <w:rFonts w:ascii="Century Schoolbook" w:hAnsi="Century Schoolbook" w:cs="Times New Roman"/>
      <w:lang w:val="en-ZA"/>
    </w:rPr>
  </w:style>
  <w:style w:type="character" w:customStyle="1" w:styleId="HSNormalChar">
    <w:name w:val="HS Normal Char"/>
    <w:link w:val="HSNormal"/>
    <w:semiHidden/>
    <w:rsid w:val="00904CEA"/>
    <w:rPr>
      <w:rFonts w:ascii="Century Schoolbook" w:eastAsia="Times New Roman" w:hAnsi="Century Schoolbook" w:cs="Times New Roman"/>
      <w:sz w:val="20"/>
      <w:szCs w:val="24"/>
      <w:lang w:val="en-ZA"/>
    </w:rPr>
  </w:style>
  <w:style w:type="paragraph" w:customStyle="1" w:styleId="HSFormAssmtHdg">
    <w:name w:val="HS Form Assmt Hdg"/>
    <w:basedOn w:val="Normal"/>
    <w:semiHidden/>
    <w:rsid w:val="00904CEA"/>
    <w:pPr>
      <w:spacing w:before="240"/>
      <w:jc w:val="center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2021-02-12T11:26:00Z</dcterms:created>
  <dcterms:modified xsi:type="dcterms:W3CDTF">2021-02-12T11:27:00Z</dcterms:modified>
</cp:coreProperties>
</file>